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999999999998" w:type="dxa"/>
        <w:jc w:val="center"/>
        <w:tblLayout w:type="fixed"/>
        <w:tblLook w:val="0000"/>
      </w:tblPr>
      <w:tblGrid>
        <w:gridCol w:w="2944"/>
        <w:gridCol w:w="425"/>
        <w:gridCol w:w="7088"/>
        <w:tblGridChange w:id="0">
          <w:tblGrid>
            <w:gridCol w:w="2944"/>
            <w:gridCol w:w="425"/>
            <w:gridCol w:w="7088"/>
          </w:tblGrid>
        </w:tblGridChange>
      </w:tblGrid>
      <w:tr>
        <w:trPr>
          <w:trHeight w:val="328" w:hRule="atLeast"/>
        </w:trPr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Birim Adı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Yabancı Diller Yüksekokul Müdürlüğü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Alt Birim 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Kalite ve Akreditasyon Birimi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Tanımı Yapılacak Unvan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Kalite ve Akreditasyon  Birim Sorumlusu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Bağlı bulunduğu Unvan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Bölüm Başkanı, Müdür Yardımcısı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284" w:firstLine="0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Sorumlu Olduğu Görev ve İşler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-Birimin işlerini planlamak, koordine etmek,</w:t>
            </w:r>
          </w:p>
          <w:p w:rsidR="00000000" w:rsidDel="00000000" w:rsidP="00000000" w:rsidRDefault="00000000" w:rsidRPr="00000000" w14:paraId="0000001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-Birim içi görev dağılımı yapmak,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-Birimi toplantılarda temsil etmek,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-Birimi üyeleriyle düzenli toplantılar yapmak,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-Toplantı sonuçlarını Bölüm Başkanına rapor etmek,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-Birimin yapacağı işlerle ilgili iş akışı ve çalışma takvimi oluşturmak,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-Yüksekokul Müdürlüğünün verdiği diğer iş ve işlemleri yapmak,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-Bölüm Başkanı ve Müdür Yardımcılarına karşı sorumludur.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284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Sahip Olduğu Yetkiler 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8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1-Kalite Komisyonu Birimi işlemlerini yürütmek. </w:t>
            </w:r>
          </w:p>
        </w:tc>
      </w:tr>
    </w:tbl>
    <w:p w:rsidR="00000000" w:rsidDel="00000000" w:rsidP="00000000" w:rsidRDefault="00000000" w:rsidRPr="00000000" w14:paraId="00000029">
      <w:pPr>
        <w:ind w:left="284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Bilgi Beceri veYetenekler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1-Analiz yapabilme</w:t>
            </w:r>
          </w:p>
          <w:p w:rsidR="00000000" w:rsidDel="00000000" w:rsidP="00000000" w:rsidRDefault="00000000" w:rsidRPr="00000000" w14:paraId="0000002C">
            <w:pPr>
              <w:tabs>
                <w:tab w:val="left" w:pos="176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2-Sözlü ve yazılı anlatım becerisi</w:t>
            </w:r>
          </w:p>
          <w:p w:rsidR="00000000" w:rsidDel="00000000" w:rsidP="00000000" w:rsidRDefault="00000000" w:rsidRPr="00000000" w14:paraId="0000002D">
            <w:pPr>
              <w:tabs>
                <w:tab w:val="left" w:pos="176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3-Değişim ve gelişime yatkınlık</w:t>
            </w:r>
          </w:p>
          <w:p w:rsidR="00000000" w:rsidDel="00000000" w:rsidP="00000000" w:rsidRDefault="00000000" w:rsidRPr="00000000" w14:paraId="0000002E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4-Düzgün diksiyon</w:t>
            </w:r>
          </w:p>
          <w:p w:rsidR="00000000" w:rsidDel="00000000" w:rsidP="00000000" w:rsidRDefault="00000000" w:rsidRPr="00000000" w14:paraId="0000002F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5-Kurumsal ve etik prensiplere bağlılık</w:t>
            </w:r>
          </w:p>
          <w:p w:rsidR="00000000" w:rsidDel="00000000" w:rsidP="00000000" w:rsidRDefault="00000000" w:rsidRPr="00000000" w14:paraId="00000030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6-Sorun çözebilme</w:t>
            </w:r>
          </w:p>
          <w:p w:rsidR="00000000" w:rsidDel="00000000" w:rsidP="00000000" w:rsidRDefault="00000000" w:rsidRPr="00000000" w14:paraId="00000031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7-Sonuç odaklı olma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8-Değişim ve gelişime açık olma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9-Düzenli ve disiplinli çalışma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10-Ekip liderliği vasfı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11-Empati kurabilme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12-Liderlik vasfı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13-Sorumluluk alabilme</w:t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14-Muhakeme yapabilme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284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Yetkinlik Düzeyi </w:t>
            </w:r>
            <w:r w:rsidDel="00000000" w:rsidR="00000000" w:rsidRPr="00000000">
              <w:rPr>
                <w:i w:val="1"/>
                <w:color w:val="767171"/>
                <w:sz w:val="22"/>
                <w:szCs w:val="22"/>
                <w:vertAlign w:val="baseline"/>
                <w:rtl w:val="0"/>
              </w:rPr>
              <w:t xml:space="preserve">(Bilgi, Problem Çözme, Sorumluluk Alanları)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1-Planlama ve organizasyon yapabilme</w:t>
            </w:r>
          </w:p>
          <w:p w:rsidR="00000000" w:rsidDel="00000000" w:rsidP="00000000" w:rsidRDefault="00000000" w:rsidRPr="00000000" w14:paraId="0000003C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2-Stres yönetimi</w:t>
            </w:r>
          </w:p>
          <w:p w:rsidR="00000000" w:rsidDel="00000000" w:rsidP="00000000" w:rsidRDefault="00000000" w:rsidRPr="00000000" w14:paraId="0000003D">
            <w:pPr>
              <w:tabs>
                <w:tab w:val="left" w:pos="176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3-Zaman yönetimi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4-Koordinasyon yapabilme</w:t>
            </w:r>
          </w:p>
          <w:p w:rsidR="00000000" w:rsidDel="00000000" w:rsidP="00000000" w:rsidRDefault="00000000" w:rsidRPr="00000000" w14:paraId="0000003F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5-Hızlı düşünme ve karar verebilme</w:t>
            </w:r>
          </w:p>
          <w:p w:rsidR="00000000" w:rsidDel="00000000" w:rsidP="00000000" w:rsidRDefault="00000000" w:rsidRPr="00000000" w14:paraId="00000040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6-Orta düzeyde bilgisayar ve internet kullanımı</w:t>
            </w:r>
          </w:p>
          <w:p w:rsidR="00000000" w:rsidDel="00000000" w:rsidP="00000000" w:rsidRDefault="00000000" w:rsidRPr="00000000" w14:paraId="00000041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7-Alanında Dil Eğitimi Bilgisi</w:t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8-Ofis gereçlerini ve programlarını kullanabilme</w:t>
            </w:r>
          </w:p>
          <w:p w:rsidR="00000000" w:rsidDel="00000000" w:rsidP="00000000" w:rsidRDefault="00000000" w:rsidRPr="00000000" w14:paraId="00000043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9-Düzenli ve disiplinli çalışma</w:t>
            </w:r>
          </w:p>
          <w:p w:rsidR="00000000" w:rsidDel="00000000" w:rsidP="00000000" w:rsidRDefault="00000000" w:rsidRPr="00000000" w14:paraId="00000044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10-Ekip çalışmasına uyumlu ve katılımcı</w:t>
            </w:r>
          </w:p>
          <w:p w:rsidR="00000000" w:rsidDel="00000000" w:rsidP="00000000" w:rsidRDefault="00000000" w:rsidRPr="00000000" w14:paraId="00000045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11-Sabırlı olma</w:t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12-Gizli belgeleri açıklamama</w:t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13-Hesap verebilirlik</w:t>
            </w:r>
          </w:p>
        </w:tc>
      </w:tr>
    </w:tbl>
    <w:p w:rsidR="00000000" w:rsidDel="00000000" w:rsidP="00000000" w:rsidRDefault="00000000" w:rsidRPr="00000000" w14:paraId="00000048">
      <w:pPr>
        <w:ind w:left="284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Diğer Görev ve işler ile İlişkisi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1-Yüksekokul Müdürlüğü ile raporlama ilişkisi,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2-Yabancı Diller Yüksekokulu Şube Müdürü ile işbirliği,</w:t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3- Yüksekokulda görev yapan öğretim görevlileri ile bilgilendirme ve yönlendirme ilişkisi.</w:t>
            </w:r>
          </w:p>
        </w:tc>
      </w:tr>
    </w:tbl>
    <w:p w:rsidR="00000000" w:rsidDel="00000000" w:rsidP="00000000" w:rsidRDefault="00000000" w:rsidRPr="00000000" w14:paraId="0000004D">
      <w:pPr>
        <w:ind w:left="284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945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57" w:top="5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103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396"/>
      <w:gridCol w:w="2262"/>
      <w:gridCol w:w="2110"/>
      <w:gridCol w:w="1362"/>
      <w:gridCol w:w="1072"/>
      <w:gridCol w:w="2168"/>
      <w:tblGridChange w:id="0">
        <w:tblGrid>
          <w:gridCol w:w="1396"/>
          <w:gridCol w:w="2262"/>
          <w:gridCol w:w="2110"/>
          <w:gridCol w:w="1362"/>
          <w:gridCol w:w="1072"/>
          <w:gridCol w:w="2168"/>
        </w:tblGrid>
      </w:tblGridChange>
    </w:tblGrid>
    <w:tr>
      <w:trPr>
        <w:trHeight w:val="369" w:hRule="atLeast"/>
      </w:trPr>
      <w:tc>
        <w:tcPr>
          <w:gridSpan w:val="2"/>
        </w:tcPr>
        <w:p w:rsidR="00000000" w:rsidDel="00000000" w:rsidP="00000000" w:rsidRDefault="00000000" w:rsidRPr="00000000" w14:paraId="00000058">
          <w:pPr>
            <w:jc w:val="center"/>
            <w:rPr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Hazırlayan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A">
          <w:pPr>
            <w:jc w:val="center"/>
            <w:rPr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B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5C">
          <w:pPr>
            <w:jc w:val="center"/>
            <w:rPr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Onaylayan 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69" w:hRule="atLeast"/>
      </w:trPr>
      <w:tc>
        <w:tcPr/>
        <w:p w:rsidR="00000000" w:rsidDel="00000000" w:rsidP="00000000" w:rsidRDefault="00000000" w:rsidRPr="00000000" w14:paraId="0000005E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Ad Soyad</w:t>
          </w:r>
        </w:p>
      </w:tc>
      <w:tc>
        <w:tcPr/>
        <w:p w:rsidR="00000000" w:rsidDel="00000000" w:rsidP="00000000" w:rsidRDefault="00000000" w:rsidRPr="00000000" w14:paraId="0000005F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 </w:t>
          </w:r>
        </w:p>
      </w:tc>
      <w:tc>
        <w:tcPr/>
        <w:p w:rsidR="00000000" w:rsidDel="00000000" w:rsidP="00000000" w:rsidRDefault="00000000" w:rsidRPr="00000000" w14:paraId="00000060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1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2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Ad Soyad</w:t>
          </w:r>
        </w:p>
      </w:tc>
      <w:tc>
        <w:tcPr/>
        <w:p w:rsidR="00000000" w:rsidDel="00000000" w:rsidP="00000000" w:rsidRDefault="00000000" w:rsidRPr="00000000" w14:paraId="00000063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                                         </w:t>
          </w:r>
        </w:p>
      </w:tc>
    </w:tr>
    <w:tr>
      <w:trPr>
        <w:trHeight w:val="369" w:hRule="atLeast"/>
      </w:trPr>
      <w:tc>
        <w:tcPr/>
        <w:p w:rsidR="00000000" w:rsidDel="00000000" w:rsidP="00000000" w:rsidRDefault="00000000" w:rsidRPr="00000000" w14:paraId="00000064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Unvan</w:t>
          </w:r>
        </w:p>
      </w:tc>
      <w:tc>
        <w:tcPr/>
        <w:p w:rsidR="00000000" w:rsidDel="00000000" w:rsidP="00000000" w:rsidRDefault="00000000" w:rsidRPr="00000000" w14:paraId="00000065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</w:t>
          </w:r>
        </w:p>
      </w:tc>
      <w:tc>
        <w:tcPr/>
        <w:p w:rsidR="00000000" w:rsidDel="00000000" w:rsidP="00000000" w:rsidRDefault="00000000" w:rsidRPr="00000000" w14:paraId="00000066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7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8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Unvan</w:t>
          </w:r>
        </w:p>
      </w:tc>
      <w:tc>
        <w:tcPr/>
        <w:p w:rsidR="00000000" w:rsidDel="00000000" w:rsidP="00000000" w:rsidRDefault="00000000" w:rsidRPr="00000000" w14:paraId="00000069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</w:t>
          </w:r>
        </w:p>
      </w:tc>
    </w:tr>
    <w:tr>
      <w:trPr>
        <w:trHeight w:val="369" w:hRule="atLeast"/>
      </w:trPr>
      <w:tc>
        <w:tcPr/>
        <w:p w:rsidR="00000000" w:rsidDel="00000000" w:rsidP="00000000" w:rsidRDefault="00000000" w:rsidRPr="00000000" w14:paraId="0000006A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İmza</w:t>
          </w:r>
        </w:p>
      </w:tc>
      <w:tc>
        <w:tcPr/>
        <w:p w:rsidR="00000000" w:rsidDel="00000000" w:rsidP="00000000" w:rsidRDefault="00000000" w:rsidRPr="00000000" w14:paraId="0000006B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C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D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E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İmza</w:t>
          </w:r>
        </w:p>
      </w:tc>
      <w:tc>
        <w:tcPr/>
        <w:p w:rsidR="00000000" w:rsidDel="00000000" w:rsidP="00000000" w:rsidRDefault="00000000" w:rsidRPr="00000000" w14:paraId="0000006F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Sayfa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774.0" w:type="dxa"/>
      <w:jc w:val="left"/>
      <w:tblInd w:w="0.0" w:type="dxa"/>
      <w:tblLayout w:type="fixed"/>
      <w:tblLook w:val="0000"/>
    </w:tblPr>
    <w:tblGrid>
      <w:gridCol w:w="1985"/>
      <w:gridCol w:w="6804"/>
      <w:gridCol w:w="1985"/>
      <w:tblGridChange w:id="0">
        <w:tblGrid>
          <w:gridCol w:w="1985"/>
          <w:gridCol w:w="6804"/>
          <w:gridCol w:w="198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14350" cy="504825"/>
                <wp:effectExtent b="0" l="0" r="0" t="0"/>
                <wp:docPr descr="logoo" id="1026" name="image1.jpg"/>
                <a:graphic>
                  <a:graphicData uri="http://schemas.openxmlformats.org/drawingml/2006/picture">
                    <pic:pic>
                      <pic:nvPicPr>
                        <pic:cNvPr descr="logoo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2">
          <w:pPr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T.C.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ESKİŞEHİR OSMANGAZİ ÜNİVERSİTESİ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jc w:val="center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PERSONEL GÖREV TANIM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67171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67171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 No: 4</w:t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1">
    <w:name w:val="Başlık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tr-TR" w:val="tr-TR"/>
    </w:rPr>
  </w:style>
  <w:style w:type="paragraph" w:styleId="Başlık2">
    <w:name w:val="Başlık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3">
    <w:name w:val="Başlık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tr-TR" w:val="tr-TR"/>
    </w:rPr>
  </w:style>
  <w:style w:type="paragraph" w:styleId="Başlık4">
    <w:name w:val="Başlık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l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GövdeMetniGirintisi">
    <w:name w:val="Gövde Metni Girintisi"/>
    <w:basedOn w:val="Normal"/>
    <w:next w:val="GövdeMetniGirintisi"/>
    <w:autoRedefine w:val="0"/>
    <w:hidden w:val="0"/>
    <w:qFormat w:val="0"/>
    <w:pPr>
      <w:suppressAutoHyphens w:val="1"/>
      <w:spacing w:line="1" w:lineRule="atLeast"/>
      <w:ind w:left="7080" w:leftChars="-1" w:rightChars="0" w:firstLine="708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3366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Üstbilgi">
    <w:name w:val="Üstbilgi"/>
    <w:basedOn w:val="Normal"/>
    <w:next w:val="Üs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ÜstbilgiChar">
    <w:name w:val="Üstbilgi Char"/>
    <w:next w:val="Üs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tbilgi">
    <w:name w:val="Altbilgi"/>
    <w:basedOn w:val="Normal"/>
    <w:next w:val="Al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AltbilgiChar">
    <w:name w:val="Altbilgi Char"/>
    <w:next w:val="Al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ltBilgiChar">
    <w:name w:val="Alt Bilgi Char"/>
    <w:next w:val="Al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onMetni">
    <w:name w:val="Balon Metni"/>
    <w:basedOn w:val="Normal"/>
    <w:next w:val="BalonMet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tr-TR" w:val="tr-TR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6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ListeParagraf">
    <w:name w:val="Liste Paragraf"/>
    <w:basedOn w:val="Normal"/>
    <w:next w:val="ListeParagraf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gHIY1giL+V4HM1HwPUSyNSxYg==">AMUW2mWfzAcZk7BcYqCSQwDD2kBez3B/D7qSL/PahCPKdZtn0MF3HKzFDC4gRXat3BjxA0MO4Olk7Frr+I9PQoIL0VVjUncMz3ctDhO+8E3Acqbm6P1OY4Y=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2020-07-10T06:56:00Z</dcterms:created>
  <dc:creator>pınar</dc:creator>
</cp:coreProperties>
</file>